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BA" w:rsidRPr="00FC1BBA" w:rsidRDefault="00FC1BBA" w:rsidP="00FC1BBA">
      <w:pPr>
        <w:shd w:val="clear" w:color="auto" w:fill="FFFFFF"/>
        <w:spacing w:before="100" w:beforeAutospacing="1" w:after="100" w:afterAutospacing="1" w:line="480" w:lineRule="atLeast"/>
        <w:outlineLvl w:val="1"/>
        <w:rPr>
          <w:rFonts w:ascii="Arial" w:eastAsia="Times New Roman" w:hAnsi="Arial" w:cs="Arial"/>
          <w:b/>
          <w:bCs/>
          <w:color w:val="002060"/>
          <w:kern w:val="36"/>
          <w:sz w:val="40"/>
          <w:szCs w:val="40"/>
        </w:rPr>
      </w:pPr>
      <w:r w:rsidRPr="00FC1BBA">
        <w:rPr>
          <w:rFonts w:ascii="Arial" w:eastAsia="Times New Roman" w:hAnsi="Arial" w:cs="Arial"/>
          <w:b/>
          <w:bCs/>
          <w:color w:val="002060"/>
          <w:kern w:val="36"/>
          <w:sz w:val="40"/>
          <w:szCs w:val="40"/>
        </w:rPr>
        <w:t>XMP1-LCC - Highest cross-connect capacity in a compact housing</w:t>
      </w:r>
    </w:p>
    <w:p w:rsidR="00FC1BBA" w:rsidRPr="00FC1BBA" w:rsidRDefault="00FC1BBA" w:rsidP="00FC1BBA">
      <w:pPr>
        <w:shd w:val="clear" w:color="auto" w:fill="FFFFFF"/>
        <w:spacing w:after="0" w:line="360" w:lineRule="atLeast"/>
        <w:rPr>
          <w:rFonts w:ascii="OpenSans-Regular-webfont" w:eastAsia="Times New Roman" w:hAnsi="OpenSans-Regular-webfont" w:cs="Times New Roman"/>
          <w:color w:val="000000"/>
          <w:sz w:val="21"/>
          <w:szCs w:val="21"/>
        </w:rPr>
      </w:pPr>
      <w:r>
        <w:rPr>
          <w:rFonts w:ascii="OpenSans-Regular-webfont" w:eastAsia="Times New Roman" w:hAnsi="OpenSans-Regular-webfont" w:cs="Times New Roman"/>
          <w:noProof/>
          <w:color w:val="000000"/>
          <w:sz w:val="21"/>
          <w:szCs w:val="21"/>
        </w:rPr>
        <w:drawing>
          <wp:anchor distT="0" distB="0" distL="0" distR="0" simplePos="0" relativeHeight="251658240" behindDoc="0" locked="0" layoutInCell="1" allowOverlap="0" wp14:anchorId="0BC2AF12" wp14:editId="46C2FFAF">
            <wp:simplePos x="0" y="0"/>
            <wp:positionH relativeFrom="column">
              <wp:posOffset>-76200</wp:posOffset>
            </wp:positionH>
            <wp:positionV relativeFrom="line">
              <wp:posOffset>0</wp:posOffset>
            </wp:positionV>
            <wp:extent cx="1828800" cy="847725"/>
            <wp:effectExtent l="0" t="0" r="0" b="9525"/>
            <wp:wrapSquare wrapText="bothSides"/>
            <wp:docPr id="2" name="Picture 2" descr="http://www.keymile.com/documents/10181/22883/XMP1-LCC_text-picture-internet.jpg/d91726d7-aab6-4d7a-b172-aff199e361de?t=13928944283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ymile.com/documents/10181/22883/XMP1-LCC_text-picture-internet.jpg/d91726d7-aab6-4d7a-b172-aff199e361de?t=139289442832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47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p>
    <w:p w:rsidR="00FC1BBA" w:rsidRDefault="00FC1BBA" w:rsidP="00FC1BBA">
      <w:pPr>
        <w:shd w:val="clear" w:color="auto" w:fill="FFFFFF"/>
        <w:spacing w:before="100" w:beforeAutospacing="1" w:after="100" w:afterAutospacing="1" w:line="360" w:lineRule="atLeast"/>
        <w:rPr>
          <w:rFonts w:ascii="OpenSans-Regular-webfont" w:eastAsia="Times New Roman" w:hAnsi="OpenSans-Regular-webfont" w:cs="Times New Roman"/>
          <w:color w:val="000000"/>
          <w:sz w:val="21"/>
          <w:szCs w:val="21"/>
        </w:rPr>
      </w:pPr>
    </w:p>
    <w:p w:rsidR="00FC1BBA" w:rsidRDefault="00FC1BBA" w:rsidP="00FC1BBA">
      <w:pPr>
        <w:shd w:val="clear" w:color="auto" w:fill="FFFFFF"/>
        <w:spacing w:before="100" w:beforeAutospacing="1" w:after="100" w:afterAutospacing="1" w:line="360" w:lineRule="atLeast"/>
        <w:rPr>
          <w:rFonts w:ascii="OpenSans-Regular-webfont" w:eastAsia="Times New Roman" w:hAnsi="OpenSans-Regular-webfont" w:cs="Times New Roman"/>
          <w:color w:val="000000"/>
          <w:sz w:val="21"/>
          <w:szCs w:val="21"/>
        </w:rPr>
      </w:pPr>
    </w:p>
    <w:p w:rsidR="00FC1BBA" w:rsidRPr="00FC1BBA" w:rsidRDefault="00FC1BBA" w:rsidP="00FC1BBA">
      <w:pPr>
        <w:shd w:val="clear" w:color="auto" w:fill="FFFFFF"/>
        <w:spacing w:before="100" w:beforeAutospacing="1" w:after="100" w:afterAutospacing="1" w:line="360" w:lineRule="atLeast"/>
        <w:rPr>
          <w:rFonts w:ascii="Arial" w:eastAsia="Times New Roman" w:hAnsi="Arial" w:cs="Arial"/>
          <w:color w:val="000000"/>
          <w:sz w:val="20"/>
          <w:szCs w:val="20"/>
        </w:rPr>
      </w:pPr>
      <w:r w:rsidRPr="00FC1BBA">
        <w:rPr>
          <w:rFonts w:ascii="Arial" w:eastAsia="Times New Roman" w:hAnsi="Arial" w:cs="Arial"/>
          <w:color w:val="000000"/>
          <w:sz w:val="20"/>
          <w:szCs w:val="20"/>
        </w:rPr>
        <w:t>The XMP1-LCC is a modular, compact access multiplexer. It can be fitted with 2 Mbps and SDH interface cards. STM-1/STM-4 (optical and electrical) or STM16 (optical) interfaces are available for SDH connection.</w:t>
      </w:r>
    </w:p>
    <w:p w:rsidR="00FC1BBA" w:rsidRPr="00FC1BBA" w:rsidRDefault="00FC1BBA" w:rsidP="00FC1BBA">
      <w:pPr>
        <w:shd w:val="clear" w:color="auto" w:fill="FFFFFF"/>
        <w:spacing w:before="100" w:beforeAutospacing="1" w:after="100" w:afterAutospacing="1" w:line="360" w:lineRule="atLeast"/>
        <w:rPr>
          <w:rFonts w:ascii="Arial" w:eastAsia="Times New Roman" w:hAnsi="Arial" w:cs="Arial"/>
          <w:color w:val="000000"/>
          <w:sz w:val="20"/>
          <w:szCs w:val="20"/>
        </w:rPr>
      </w:pPr>
      <w:r w:rsidRPr="00FC1BBA">
        <w:rPr>
          <w:rFonts w:ascii="Arial" w:eastAsia="Times New Roman" w:hAnsi="Arial" w:cs="Arial"/>
          <w:color w:val="000000"/>
          <w:sz w:val="20"/>
          <w:szCs w:val="20"/>
        </w:rPr>
        <w:t>Its efficient cross-connect allows separate switching at 64 kbps/2 Mbps and SDH level. The cross-connect capacity enables separate switching of up to 252 x E1 at 64 kbps and up to 183 STM-1-, 144 VC-3, and 3024 VC-12 signals at SDH level.</w:t>
      </w:r>
    </w:p>
    <w:p w:rsidR="00FC1BBA" w:rsidRPr="00FC1BBA" w:rsidRDefault="00FC1BBA" w:rsidP="00FC1BBA">
      <w:pPr>
        <w:shd w:val="clear" w:color="auto" w:fill="FFFFFF"/>
        <w:spacing w:before="100" w:beforeAutospacing="1" w:after="100" w:afterAutospacing="1" w:line="360" w:lineRule="atLeast"/>
        <w:rPr>
          <w:rFonts w:ascii="Arial" w:eastAsia="Times New Roman" w:hAnsi="Arial" w:cs="Arial"/>
          <w:color w:val="000000"/>
          <w:sz w:val="20"/>
          <w:szCs w:val="20"/>
        </w:rPr>
      </w:pPr>
      <w:r w:rsidRPr="00FC1BBA">
        <w:rPr>
          <w:rFonts w:ascii="Arial" w:eastAsia="Times New Roman" w:hAnsi="Arial" w:cs="Arial"/>
          <w:color w:val="000000"/>
          <w:sz w:val="20"/>
          <w:szCs w:val="20"/>
        </w:rPr>
        <w:t xml:space="preserve">Thanks to its vast cross-connect capacity and high number interfaces, it consolidates incoming data for forwarding to the SDH backbone network. The central units can be installed redundantly. Then the XMP1-LCC will have a high level of availability and can be used in mission-critical applications. The XMP1-LCC belongs to the </w:t>
      </w:r>
      <w:hyperlink r:id="rId9" w:history="1">
        <w:r w:rsidRPr="00FC1BBA">
          <w:rPr>
            <w:rFonts w:ascii="Arial" w:eastAsia="Times New Roman" w:hAnsi="Arial" w:cs="Arial"/>
            <w:color w:val="FF7300"/>
            <w:sz w:val="20"/>
            <w:szCs w:val="20"/>
          </w:rPr>
          <w:t>XMP1 family</w:t>
        </w:r>
      </w:hyperlink>
      <w:r w:rsidRPr="00FC1BBA">
        <w:rPr>
          <w:rFonts w:ascii="Arial" w:eastAsia="Times New Roman" w:hAnsi="Arial" w:cs="Arial"/>
          <w:color w:val="000000"/>
          <w:sz w:val="20"/>
          <w:szCs w:val="20"/>
        </w:rPr>
        <w:t xml:space="preserve"> and supports the protection functions and operation modes of the XMP1 multi-service access multiplexer.</w:t>
      </w:r>
    </w:p>
    <w:p w:rsidR="00FC1BBA" w:rsidRPr="00FC1BBA" w:rsidRDefault="00FC1BBA" w:rsidP="00FC1BBA">
      <w:pPr>
        <w:shd w:val="clear" w:color="auto" w:fill="FFFFFF"/>
        <w:spacing w:before="100" w:beforeAutospacing="1" w:after="100" w:afterAutospacing="1" w:line="360" w:lineRule="atLeast"/>
        <w:rPr>
          <w:rFonts w:ascii="Arial" w:eastAsia="Times New Roman" w:hAnsi="Arial" w:cs="Arial"/>
          <w:color w:val="000000"/>
          <w:sz w:val="20"/>
          <w:szCs w:val="20"/>
        </w:rPr>
      </w:pPr>
      <w:r w:rsidRPr="00FC1BBA">
        <w:rPr>
          <w:rFonts w:ascii="Arial" w:eastAsia="Times New Roman" w:hAnsi="Arial" w:cs="Arial"/>
          <w:color w:val="000000"/>
          <w:sz w:val="20"/>
          <w:szCs w:val="20"/>
        </w:rPr>
        <w:t xml:space="preserve">The network management system SOX (Service on XMP1) allows the whole XMP1 network, including XMP1-LCC, to be fully configured and monitored in a user-friendly manner. </w:t>
      </w:r>
      <w:proofErr w:type="gramStart"/>
      <w:r w:rsidRPr="00FC1BBA">
        <w:rPr>
          <w:rFonts w:ascii="Arial" w:eastAsia="Times New Roman" w:hAnsi="Arial" w:cs="Arial"/>
          <w:color w:val="000000"/>
          <w:sz w:val="20"/>
          <w:szCs w:val="20"/>
        </w:rPr>
        <w:t>SOX provides</w:t>
      </w:r>
      <w:proofErr w:type="gramEnd"/>
      <w:r w:rsidRPr="00FC1BBA">
        <w:rPr>
          <w:rFonts w:ascii="Arial" w:eastAsia="Times New Roman" w:hAnsi="Arial" w:cs="Arial"/>
          <w:color w:val="000000"/>
          <w:sz w:val="20"/>
          <w:szCs w:val="20"/>
        </w:rPr>
        <w:t xml:space="preserve"> additional protection functions that increase the availability of the network even further. The typical public transport and railway company application is the operation as E1 access multiplexers in the SDH backbone.</w:t>
      </w:r>
    </w:p>
    <w:p w:rsidR="00FC1BBA" w:rsidRPr="00FC1BBA" w:rsidRDefault="00FC1BBA" w:rsidP="00FC1BBA">
      <w:pPr>
        <w:shd w:val="clear" w:color="auto" w:fill="FFFFFF"/>
        <w:spacing w:before="100" w:beforeAutospacing="1" w:after="100" w:afterAutospacing="1" w:line="360" w:lineRule="atLeast"/>
        <w:outlineLvl w:val="3"/>
        <w:rPr>
          <w:rFonts w:ascii="Arial" w:eastAsia="Times New Roman" w:hAnsi="Arial" w:cs="Arial"/>
          <w:bCs/>
          <w:color w:val="000000"/>
          <w:sz w:val="21"/>
          <w:szCs w:val="21"/>
        </w:rPr>
      </w:pPr>
      <w:r w:rsidRPr="00FC1BBA">
        <w:rPr>
          <w:rFonts w:ascii="Arial" w:eastAsia="Times New Roman" w:hAnsi="Arial" w:cs="Arial"/>
          <w:bCs/>
          <w:color w:val="000000"/>
          <w:sz w:val="21"/>
          <w:szCs w:val="21"/>
        </w:rPr>
        <w:t>XMP1 highlights</w:t>
      </w:r>
    </w:p>
    <w:tbl>
      <w:tblPr>
        <w:tblW w:w="5000" w:type="pct"/>
        <w:tblCellSpacing w:w="15" w:type="dxa"/>
        <w:tblBorders>
          <w:left w:val="single" w:sz="6" w:space="0" w:color="EDE8E9"/>
        </w:tblBorders>
        <w:tblCellMar>
          <w:top w:w="15" w:type="dxa"/>
          <w:left w:w="15" w:type="dxa"/>
          <w:bottom w:w="15" w:type="dxa"/>
          <w:right w:w="15" w:type="dxa"/>
        </w:tblCellMar>
        <w:tblLook w:val="04A0" w:firstRow="1" w:lastRow="0" w:firstColumn="1" w:lastColumn="0" w:noHBand="0" w:noVBand="1"/>
      </w:tblPr>
      <w:tblGrid>
        <w:gridCol w:w="5046"/>
        <w:gridCol w:w="4704"/>
      </w:tblGrid>
      <w:tr w:rsidR="00FC1BBA" w:rsidRPr="00FC1BBA" w:rsidTr="00FC1BBA">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FC1BBA" w:rsidRPr="00FC1BBA" w:rsidRDefault="00FC1BBA" w:rsidP="00FC1BBA">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 xml:space="preserve">Highest non-blocking cross-connect capacity </w:t>
            </w:r>
          </w:p>
          <w:p w:rsidR="00FC1BBA" w:rsidRPr="00FC1BBA" w:rsidRDefault="00FC1BBA" w:rsidP="00FC1BBA">
            <w:pPr>
              <w:numPr>
                <w:ilvl w:val="1"/>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3024 x VC-12</w:t>
            </w:r>
          </w:p>
          <w:p w:rsidR="00FC1BBA" w:rsidRPr="00FC1BBA" w:rsidRDefault="00FC1BBA" w:rsidP="00FC1BBA">
            <w:pPr>
              <w:numPr>
                <w:ilvl w:val="1"/>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183 x VC-4</w:t>
            </w:r>
          </w:p>
          <w:p w:rsidR="00FC1BBA" w:rsidRPr="00FC1BBA" w:rsidRDefault="00FC1BBA" w:rsidP="00FC1BBA">
            <w:pPr>
              <w:numPr>
                <w:ilvl w:val="1"/>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144 x VC-3</w:t>
            </w:r>
          </w:p>
          <w:p w:rsidR="00FC1BBA" w:rsidRPr="00FC1BBA" w:rsidRDefault="00FC1BBA" w:rsidP="00FC1BBA">
            <w:pPr>
              <w:numPr>
                <w:ilvl w:val="1"/>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8064 x 64 kbps</w:t>
            </w:r>
          </w:p>
          <w:p w:rsidR="00FC1BBA" w:rsidRPr="00FC1BBA" w:rsidRDefault="00FC1BBA" w:rsidP="00FC1BBA">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 xml:space="preserve">Optimal support of network interfaces ranges from 2 </w:t>
            </w:r>
            <w:r w:rsidRPr="00FC1BBA">
              <w:rPr>
                <w:rFonts w:ascii="Arial" w:eastAsia="Times New Roman" w:hAnsi="Arial" w:cs="Arial"/>
                <w:color w:val="000000"/>
                <w:sz w:val="20"/>
                <w:szCs w:val="24"/>
              </w:rPr>
              <w:lastRenderedPageBreak/>
              <w:t>Mbps to STM-1/4/16</w:t>
            </w:r>
          </w:p>
          <w:p w:rsidR="00FC1BBA" w:rsidRPr="00FC1BBA" w:rsidRDefault="00FC1BBA" w:rsidP="00FC1BBA">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Non-blocking PDH cross-connect on 8k/64k level with 252 x E1 inputs</w:t>
            </w:r>
          </w:p>
          <w:p w:rsidR="00FC1BBA" w:rsidRPr="00FC1BBA" w:rsidRDefault="00FC1BBA" w:rsidP="00FC1BBA">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Modular system for all network topologies</w:t>
            </w:r>
          </w:p>
          <w:p w:rsidR="00FC1BBA" w:rsidRPr="00FC1BBA" w:rsidRDefault="00FC1BBA" w:rsidP="00FC1BBA">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 xml:space="preserve">Optional redundant core unit with switching times &lt;50 </w:t>
            </w:r>
            <w:proofErr w:type="spellStart"/>
            <w:r w:rsidRPr="00FC1BBA">
              <w:rPr>
                <w:rFonts w:ascii="Arial" w:eastAsia="Times New Roman" w:hAnsi="Arial" w:cs="Arial"/>
                <w:color w:val="000000"/>
                <w:sz w:val="20"/>
                <w:szCs w:val="24"/>
              </w:rPr>
              <w:t>ms</w:t>
            </w:r>
            <w:proofErr w:type="spellEnd"/>
            <w:r w:rsidRPr="00FC1BBA">
              <w:rPr>
                <w:rFonts w:ascii="Arial" w:eastAsia="Times New Roman" w:hAnsi="Arial" w:cs="Arial"/>
                <w:color w:val="000000"/>
                <w:sz w:val="20"/>
                <w:szCs w:val="24"/>
              </w:rPr>
              <w:t xml:space="preserve"> (manual switching error-free)</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lastRenderedPageBreak/>
              <w:t>8 slots for interface units</w:t>
            </w:r>
          </w:p>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Ethernet over PDH and Ethernet over SDH units available</w:t>
            </w:r>
          </w:p>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Powerful management system for control, testing and diagnostic functions</w:t>
            </w:r>
          </w:p>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 xml:space="preserve">Space savings with an integrated high density </w:t>
            </w:r>
            <w:r w:rsidRPr="00FC1BBA">
              <w:rPr>
                <w:rFonts w:ascii="Arial" w:eastAsia="Times New Roman" w:hAnsi="Arial" w:cs="Arial"/>
                <w:color w:val="000000"/>
                <w:sz w:val="20"/>
                <w:szCs w:val="24"/>
              </w:rPr>
              <w:lastRenderedPageBreak/>
              <w:t>compact design (3 HU)</w:t>
            </w:r>
          </w:p>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Optimal for mission-critical applications, thanks to highest availability and reliability</w:t>
            </w:r>
          </w:p>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Versatile protection and redundancy mechanism</w:t>
            </w:r>
          </w:p>
          <w:p w:rsidR="00FC1BBA" w:rsidRPr="00FC1BBA" w:rsidRDefault="00FC1BBA" w:rsidP="00FC1BBA">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FC1BBA">
              <w:rPr>
                <w:rFonts w:ascii="Arial" w:eastAsia="Times New Roman" w:hAnsi="Arial" w:cs="Arial"/>
                <w:color w:val="000000"/>
                <w:sz w:val="20"/>
                <w:szCs w:val="24"/>
              </w:rPr>
              <w:t>Integrated SDH multiplexer with interfaces for STM-1 up to STM-16</w:t>
            </w:r>
          </w:p>
        </w:tc>
      </w:tr>
    </w:tbl>
    <w:p w:rsidR="00FC1BBA" w:rsidRPr="00FC1BBA" w:rsidRDefault="00FC1BBA" w:rsidP="00FC1BBA">
      <w:pPr>
        <w:shd w:val="clear" w:color="auto" w:fill="FFFFFF"/>
        <w:spacing w:before="100" w:beforeAutospacing="1" w:after="100" w:afterAutospacing="1" w:line="360" w:lineRule="atLeast"/>
        <w:outlineLvl w:val="2"/>
        <w:rPr>
          <w:rFonts w:ascii="Arial" w:eastAsia="Times New Roman" w:hAnsi="Arial" w:cs="Arial"/>
          <w:bCs/>
          <w:color w:val="000000"/>
          <w:sz w:val="21"/>
          <w:szCs w:val="21"/>
        </w:rPr>
      </w:pPr>
      <w:r w:rsidRPr="00FC1BBA">
        <w:rPr>
          <w:rFonts w:ascii="Arial" w:eastAsia="Times New Roman" w:hAnsi="Arial" w:cs="Arial"/>
          <w:bCs/>
          <w:color w:val="000000"/>
          <w:sz w:val="21"/>
          <w:szCs w:val="21"/>
        </w:rPr>
        <w:lastRenderedPageBreak/>
        <w:t>XMP1-LCC is ideal for the following applications and areas</w:t>
      </w:r>
    </w:p>
    <w:p w:rsidR="00FC1BBA" w:rsidRPr="00FC1BBA" w:rsidRDefault="00FC1BBA" w:rsidP="00F73FEC">
      <w:pPr>
        <w:numPr>
          <w:ilvl w:val="0"/>
          <w:numId w:val="3"/>
        </w:numPr>
        <w:shd w:val="clear" w:color="auto" w:fill="FFFFFF"/>
        <w:spacing w:before="100" w:beforeAutospacing="1" w:after="100" w:afterAutospacing="1" w:line="360" w:lineRule="atLeast"/>
        <w:ind w:left="0" w:firstLine="0"/>
        <w:rPr>
          <w:rFonts w:ascii="Arial" w:eastAsia="Times New Roman" w:hAnsi="Arial" w:cs="Arial"/>
          <w:color w:val="000000"/>
          <w:sz w:val="20"/>
          <w:szCs w:val="20"/>
        </w:rPr>
      </w:pPr>
      <w:r w:rsidRPr="00FC1BBA">
        <w:rPr>
          <w:rFonts w:ascii="Arial" w:eastAsia="Times New Roman" w:hAnsi="Arial" w:cs="Arial"/>
          <w:color w:val="000000"/>
          <w:sz w:val="20"/>
          <w:szCs w:val="20"/>
        </w:rPr>
        <w:t>PDH and SDH cross-connect</w:t>
      </w:r>
    </w:p>
    <w:p w:rsidR="00FC1BBA" w:rsidRPr="00FC1BBA" w:rsidRDefault="00FC1BBA" w:rsidP="00F73FEC">
      <w:pPr>
        <w:numPr>
          <w:ilvl w:val="0"/>
          <w:numId w:val="3"/>
        </w:numPr>
        <w:shd w:val="clear" w:color="auto" w:fill="FFFFFF"/>
        <w:spacing w:before="100" w:beforeAutospacing="1" w:after="100" w:afterAutospacing="1" w:line="360" w:lineRule="atLeast"/>
        <w:ind w:left="0" w:firstLine="0"/>
        <w:rPr>
          <w:rFonts w:ascii="Arial" w:eastAsia="Times New Roman" w:hAnsi="Arial" w:cs="Arial"/>
          <w:color w:val="000000"/>
          <w:sz w:val="20"/>
          <w:szCs w:val="20"/>
        </w:rPr>
      </w:pPr>
      <w:r w:rsidRPr="00FC1BBA">
        <w:rPr>
          <w:rFonts w:ascii="Arial" w:eastAsia="Times New Roman" w:hAnsi="Arial" w:cs="Arial"/>
          <w:color w:val="000000"/>
          <w:sz w:val="20"/>
          <w:szCs w:val="20"/>
        </w:rPr>
        <w:t>Point-to-point and point-to-multipoint networks</w:t>
      </w:r>
    </w:p>
    <w:p w:rsidR="00FC1BBA" w:rsidRPr="00FC1BBA" w:rsidRDefault="00FC1BBA" w:rsidP="00F73FEC">
      <w:pPr>
        <w:numPr>
          <w:ilvl w:val="0"/>
          <w:numId w:val="3"/>
        </w:numPr>
        <w:shd w:val="clear" w:color="auto" w:fill="FFFFFF"/>
        <w:spacing w:before="100" w:beforeAutospacing="1" w:after="100" w:afterAutospacing="1" w:line="360" w:lineRule="atLeast"/>
        <w:ind w:left="0" w:firstLine="0"/>
        <w:rPr>
          <w:rFonts w:ascii="Arial" w:eastAsia="Times New Roman" w:hAnsi="Arial" w:cs="Arial"/>
          <w:color w:val="000000"/>
          <w:sz w:val="20"/>
          <w:szCs w:val="20"/>
        </w:rPr>
      </w:pPr>
      <w:r w:rsidRPr="00FC1BBA">
        <w:rPr>
          <w:rFonts w:ascii="Arial" w:eastAsia="Times New Roman" w:hAnsi="Arial" w:cs="Arial"/>
          <w:color w:val="000000"/>
          <w:sz w:val="20"/>
          <w:szCs w:val="20"/>
        </w:rPr>
        <w:t>Standard interfaces for connection to radio, S</w:t>
      </w:r>
      <w:bookmarkStart w:id="0" w:name="_GoBack"/>
      <w:bookmarkEnd w:id="0"/>
      <w:r w:rsidRPr="00FC1BBA">
        <w:rPr>
          <w:rFonts w:ascii="Arial" w:eastAsia="Times New Roman" w:hAnsi="Arial" w:cs="Arial"/>
          <w:color w:val="000000"/>
          <w:sz w:val="20"/>
          <w:szCs w:val="20"/>
        </w:rPr>
        <w:t>DH and ATM systems</w:t>
      </w:r>
    </w:p>
    <w:p w:rsidR="00FC1BBA" w:rsidRPr="00FC1BBA" w:rsidRDefault="00FC1BBA" w:rsidP="00F73FEC">
      <w:pPr>
        <w:numPr>
          <w:ilvl w:val="0"/>
          <w:numId w:val="3"/>
        </w:numPr>
        <w:shd w:val="clear" w:color="auto" w:fill="FFFFFF"/>
        <w:spacing w:before="100" w:beforeAutospacing="1" w:after="100" w:afterAutospacing="1" w:line="360" w:lineRule="atLeast"/>
        <w:ind w:left="0" w:firstLine="0"/>
        <w:rPr>
          <w:rFonts w:ascii="Arial" w:eastAsia="Times New Roman" w:hAnsi="Arial" w:cs="Arial"/>
          <w:color w:val="000000"/>
          <w:sz w:val="20"/>
          <w:szCs w:val="20"/>
        </w:rPr>
      </w:pPr>
      <w:r w:rsidRPr="00FC1BBA">
        <w:rPr>
          <w:rFonts w:ascii="Arial" w:eastAsia="Times New Roman" w:hAnsi="Arial" w:cs="Arial"/>
          <w:color w:val="000000"/>
          <w:sz w:val="20"/>
          <w:szCs w:val="20"/>
        </w:rPr>
        <w:t>Various redundancy mechanism via safety-relevant transmission networks</w:t>
      </w:r>
    </w:p>
    <w:p w:rsidR="00FC1BBA" w:rsidRPr="00FC1BBA" w:rsidRDefault="00FC1BBA" w:rsidP="00F73FEC">
      <w:pPr>
        <w:numPr>
          <w:ilvl w:val="0"/>
          <w:numId w:val="3"/>
        </w:numPr>
        <w:shd w:val="clear" w:color="auto" w:fill="FFFFFF"/>
        <w:spacing w:before="100" w:beforeAutospacing="1" w:after="100" w:afterAutospacing="1" w:line="360" w:lineRule="atLeast"/>
        <w:ind w:left="0" w:firstLine="0"/>
        <w:rPr>
          <w:rFonts w:ascii="Arial" w:eastAsia="Times New Roman" w:hAnsi="Arial" w:cs="Arial"/>
          <w:color w:val="000000"/>
          <w:sz w:val="20"/>
          <w:szCs w:val="20"/>
        </w:rPr>
      </w:pPr>
      <w:r w:rsidRPr="00FC1BBA">
        <w:rPr>
          <w:rFonts w:ascii="Arial" w:eastAsia="Times New Roman" w:hAnsi="Arial" w:cs="Arial"/>
          <w:color w:val="000000"/>
          <w:sz w:val="20"/>
          <w:szCs w:val="20"/>
        </w:rPr>
        <w:t>Consolidation &amp; Grooming</w:t>
      </w:r>
    </w:p>
    <w:p w:rsidR="00FC1BBA" w:rsidRPr="00FC1BBA" w:rsidRDefault="00FC1BBA" w:rsidP="00F73FEC">
      <w:pPr>
        <w:numPr>
          <w:ilvl w:val="0"/>
          <w:numId w:val="3"/>
        </w:numPr>
        <w:shd w:val="clear" w:color="auto" w:fill="FFFFFF"/>
        <w:spacing w:before="100" w:beforeAutospacing="1" w:after="100" w:afterAutospacing="1" w:line="360" w:lineRule="atLeast"/>
        <w:ind w:left="0" w:firstLine="0"/>
        <w:rPr>
          <w:rFonts w:ascii="Arial" w:eastAsia="Times New Roman" w:hAnsi="Arial" w:cs="Arial"/>
          <w:color w:val="000000"/>
          <w:sz w:val="20"/>
          <w:szCs w:val="20"/>
        </w:rPr>
      </w:pPr>
      <w:r w:rsidRPr="00FC1BBA">
        <w:rPr>
          <w:rFonts w:ascii="Arial" w:eastAsia="Times New Roman" w:hAnsi="Arial" w:cs="Arial"/>
          <w:color w:val="000000"/>
          <w:sz w:val="20"/>
          <w:szCs w:val="20"/>
        </w:rPr>
        <w:t>Access node for transmission networks</w:t>
      </w:r>
    </w:p>
    <w:p w:rsidR="00DF7174" w:rsidRDefault="005139D4" w:rsidP="00476B6D">
      <w:r>
        <w:rPr>
          <w:rFonts w:ascii="OpenSans-Regular-webfont" w:hAnsi="OpenSans-Regular-webfont"/>
          <w:noProof/>
          <w:color w:val="000000"/>
          <w:sz w:val="21"/>
          <w:szCs w:val="21"/>
        </w:rPr>
        <w:drawing>
          <wp:anchor distT="0" distB="0" distL="0" distR="0" simplePos="0" relativeHeight="251660288" behindDoc="0" locked="0" layoutInCell="1" allowOverlap="0" wp14:anchorId="08B3C393" wp14:editId="73628690">
            <wp:simplePos x="0" y="0"/>
            <wp:positionH relativeFrom="column">
              <wp:align>left</wp:align>
            </wp:positionH>
            <wp:positionV relativeFrom="line">
              <wp:posOffset>0</wp:posOffset>
            </wp:positionV>
            <wp:extent cx="2256155" cy="1466850"/>
            <wp:effectExtent l="0" t="0" r="0" b="0"/>
            <wp:wrapSquare wrapText="bothSides"/>
            <wp:docPr id="1" name="Picture 1" descr="http://www.keymile.com/documents/10181/22883/Pic_XMP1-LCC_Application.jpg/ef0ae42b-3396-4cfc-a5c5-053bbd4965d4?t=1392894424227">
              <a:hlinkClick xmlns:a="http://schemas.openxmlformats.org/drawingml/2006/main" r:id="rId10" tgtFrame="keymile_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ymile.com/documents/10181/22883/Pic_XMP1-LCC_Application.jpg/ef0ae42b-3396-4cfc-a5c5-053bbd4965d4?t=1392894424227">
                      <a:hlinkClick r:id="rId10" tgtFrame="keymile_pdf"/>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6692" cy="1466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tgtFrame="keymile_pdf" w:history="1"/>
    </w:p>
    <w:sectPr w:rsidR="00DF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Regular-webf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numPicBullet w:numPicBulletId="3">
    <w:pict>
      <v:shape id="_x0000_i1122" type="#_x0000_t75" style="width:3in;height:3in" o:bullet="t"/>
    </w:pict>
  </w:numPicBullet>
  <w:numPicBullet w:numPicBulletId="4">
    <w:pict>
      <v:shape id="_x0000_i1123" type="#_x0000_t75" style="width:3in;height:3in" o:bullet="t"/>
    </w:pict>
  </w:numPicBullet>
  <w:numPicBullet w:numPicBulletId="5">
    <w:pict>
      <v:shape id="_x0000_i1124" type="#_x0000_t75" style="width:3in;height:3in" o:bullet="t"/>
    </w:pict>
  </w:numPicBullet>
  <w:abstractNum w:abstractNumId="0">
    <w:nsid w:val="053874B9"/>
    <w:multiLevelType w:val="multilevel"/>
    <w:tmpl w:val="67F8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C66F2"/>
    <w:multiLevelType w:val="multilevel"/>
    <w:tmpl w:val="3EC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23B8B"/>
    <w:multiLevelType w:val="multilevel"/>
    <w:tmpl w:val="F5A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3737E"/>
    <w:multiLevelType w:val="multilevel"/>
    <w:tmpl w:val="EDF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030AE"/>
    <w:multiLevelType w:val="multilevel"/>
    <w:tmpl w:val="8CE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A5ADF"/>
    <w:multiLevelType w:val="multilevel"/>
    <w:tmpl w:val="E64A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BA"/>
    <w:rsid w:val="001D3AE7"/>
    <w:rsid w:val="00476B6D"/>
    <w:rsid w:val="005139D4"/>
    <w:rsid w:val="00B434A2"/>
    <w:rsid w:val="00DF7174"/>
    <w:rsid w:val="00F73FEC"/>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C1B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1B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C1BBA"/>
    <w:rPr>
      <w:strike w:val="0"/>
      <w:dstrike w:val="0"/>
      <w:color w:val="FF7300"/>
      <w:u w:val="none"/>
      <w:effect w:val="none"/>
    </w:rPr>
  </w:style>
  <w:style w:type="paragraph" w:styleId="NormalWeb">
    <w:name w:val="Normal (Web)"/>
    <w:basedOn w:val="Normal"/>
    <w:uiPriority w:val="99"/>
    <w:semiHidden/>
    <w:unhideWhenUsed/>
    <w:rsid w:val="00FC1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image">
    <w:name w:val="zoomimage"/>
    <w:basedOn w:val="DefaultParagraphFont"/>
    <w:rsid w:val="00FC1BBA"/>
  </w:style>
  <w:style w:type="paragraph" w:styleId="BalloonText">
    <w:name w:val="Balloon Text"/>
    <w:basedOn w:val="Normal"/>
    <w:link w:val="BalloonTextChar"/>
    <w:uiPriority w:val="99"/>
    <w:semiHidden/>
    <w:unhideWhenUsed/>
    <w:rsid w:val="00F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C1B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1B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C1BBA"/>
    <w:rPr>
      <w:strike w:val="0"/>
      <w:dstrike w:val="0"/>
      <w:color w:val="FF7300"/>
      <w:u w:val="none"/>
      <w:effect w:val="none"/>
    </w:rPr>
  </w:style>
  <w:style w:type="paragraph" w:styleId="NormalWeb">
    <w:name w:val="Normal (Web)"/>
    <w:basedOn w:val="Normal"/>
    <w:uiPriority w:val="99"/>
    <w:semiHidden/>
    <w:unhideWhenUsed/>
    <w:rsid w:val="00FC1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image">
    <w:name w:val="zoomimage"/>
    <w:basedOn w:val="DefaultParagraphFont"/>
    <w:rsid w:val="00FC1BBA"/>
  </w:style>
  <w:style w:type="paragraph" w:styleId="BalloonText">
    <w:name w:val="Balloon Text"/>
    <w:basedOn w:val="Normal"/>
    <w:link w:val="BalloonTextChar"/>
    <w:uiPriority w:val="99"/>
    <w:semiHidden/>
    <w:unhideWhenUsed/>
    <w:rsid w:val="00F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7392">
      <w:marLeft w:val="0"/>
      <w:marRight w:val="0"/>
      <w:marTop w:val="0"/>
      <w:marBottom w:val="0"/>
      <w:divBdr>
        <w:top w:val="none" w:sz="0" w:space="0" w:color="auto"/>
        <w:left w:val="none" w:sz="0" w:space="0" w:color="auto"/>
        <w:bottom w:val="none" w:sz="0" w:space="0" w:color="auto"/>
        <w:right w:val="none" w:sz="0" w:space="0" w:color="auto"/>
      </w:divBdr>
    </w:div>
    <w:div w:id="134757394">
      <w:marLeft w:val="0"/>
      <w:marRight w:val="0"/>
      <w:marTop w:val="0"/>
      <w:marBottom w:val="0"/>
      <w:divBdr>
        <w:top w:val="none" w:sz="0" w:space="0" w:color="auto"/>
        <w:left w:val="none" w:sz="0" w:space="0" w:color="auto"/>
        <w:bottom w:val="none" w:sz="0" w:space="0" w:color="auto"/>
        <w:right w:val="none" w:sz="0" w:space="0" w:color="auto"/>
      </w:divBdr>
      <w:divsChild>
        <w:div w:id="140781004">
          <w:marLeft w:val="0"/>
          <w:marRight w:val="0"/>
          <w:marTop w:val="0"/>
          <w:marBottom w:val="0"/>
          <w:divBdr>
            <w:top w:val="none" w:sz="0" w:space="0" w:color="auto"/>
            <w:left w:val="none" w:sz="0" w:space="0" w:color="auto"/>
            <w:bottom w:val="none" w:sz="0" w:space="0" w:color="auto"/>
            <w:right w:val="none" w:sz="0" w:space="0" w:color="auto"/>
          </w:divBdr>
          <w:divsChild>
            <w:div w:id="2070151752">
              <w:marLeft w:val="0"/>
              <w:marRight w:val="0"/>
              <w:marTop w:val="0"/>
              <w:marBottom w:val="0"/>
              <w:divBdr>
                <w:top w:val="none" w:sz="0" w:space="0" w:color="auto"/>
                <w:left w:val="none" w:sz="0" w:space="0" w:color="auto"/>
                <w:bottom w:val="none" w:sz="0" w:space="0" w:color="auto"/>
                <w:right w:val="none" w:sz="0" w:space="0" w:color="auto"/>
              </w:divBdr>
              <w:divsChild>
                <w:div w:id="811558455">
                  <w:marLeft w:val="0"/>
                  <w:marRight w:val="0"/>
                  <w:marTop w:val="0"/>
                  <w:marBottom w:val="0"/>
                  <w:divBdr>
                    <w:top w:val="none" w:sz="0" w:space="0" w:color="auto"/>
                    <w:left w:val="none" w:sz="0" w:space="0" w:color="auto"/>
                    <w:bottom w:val="none" w:sz="0" w:space="0" w:color="auto"/>
                    <w:right w:val="none" w:sz="0" w:space="0" w:color="auto"/>
                  </w:divBdr>
                  <w:divsChild>
                    <w:div w:id="15268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19186">
      <w:marLeft w:val="0"/>
      <w:marRight w:val="0"/>
      <w:marTop w:val="0"/>
      <w:marBottom w:val="0"/>
      <w:divBdr>
        <w:top w:val="none" w:sz="0" w:space="0" w:color="auto"/>
        <w:left w:val="none" w:sz="0" w:space="0" w:color="auto"/>
        <w:bottom w:val="none" w:sz="0" w:space="0" w:color="auto"/>
        <w:right w:val="none" w:sz="0" w:space="0" w:color="auto"/>
      </w:divBdr>
    </w:div>
    <w:div w:id="659819495">
      <w:marLeft w:val="0"/>
      <w:marRight w:val="0"/>
      <w:marTop w:val="0"/>
      <w:marBottom w:val="0"/>
      <w:divBdr>
        <w:top w:val="none" w:sz="0" w:space="0" w:color="auto"/>
        <w:left w:val="none" w:sz="0" w:space="0" w:color="auto"/>
        <w:bottom w:val="none" w:sz="0" w:space="0" w:color="auto"/>
        <w:right w:val="none" w:sz="0" w:space="0" w:color="auto"/>
      </w:divBdr>
    </w:div>
    <w:div w:id="1013728149">
      <w:marLeft w:val="0"/>
      <w:marRight w:val="0"/>
      <w:marTop w:val="0"/>
      <w:marBottom w:val="0"/>
      <w:divBdr>
        <w:top w:val="none" w:sz="0" w:space="0" w:color="auto"/>
        <w:left w:val="none" w:sz="0" w:space="0" w:color="auto"/>
        <w:bottom w:val="none" w:sz="0" w:space="0" w:color="auto"/>
        <w:right w:val="none" w:sz="0" w:space="0" w:color="auto"/>
      </w:divBdr>
    </w:div>
    <w:div w:id="1394238595">
      <w:marLeft w:val="0"/>
      <w:marRight w:val="0"/>
      <w:marTop w:val="0"/>
      <w:marBottom w:val="0"/>
      <w:divBdr>
        <w:top w:val="none" w:sz="0" w:space="0" w:color="auto"/>
        <w:left w:val="none" w:sz="0" w:space="0" w:color="auto"/>
        <w:bottom w:val="none" w:sz="0" w:space="0" w:color="auto"/>
        <w:right w:val="none" w:sz="0" w:space="0" w:color="auto"/>
      </w:divBdr>
    </w:div>
    <w:div w:id="1601261497">
      <w:marLeft w:val="0"/>
      <w:marRight w:val="0"/>
      <w:marTop w:val="0"/>
      <w:marBottom w:val="0"/>
      <w:divBdr>
        <w:top w:val="none" w:sz="0" w:space="0" w:color="auto"/>
        <w:left w:val="none" w:sz="0" w:space="0" w:color="auto"/>
        <w:bottom w:val="none" w:sz="0" w:space="0" w:color="auto"/>
        <w:right w:val="none" w:sz="0" w:space="0" w:color="auto"/>
      </w:divBdr>
      <w:divsChild>
        <w:div w:id="130952328">
          <w:marLeft w:val="0"/>
          <w:marRight w:val="0"/>
          <w:marTop w:val="0"/>
          <w:marBottom w:val="0"/>
          <w:divBdr>
            <w:top w:val="none" w:sz="0" w:space="0" w:color="auto"/>
            <w:left w:val="none" w:sz="0" w:space="0" w:color="auto"/>
            <w:bottom w:val="none" w:sz="0" w:space="0" w:color="auto"/>
            <w:right w:val="none" w:sz="0" w:space="0" w:color="auto"/>
          </w:divBdr>
          <w:divsChild>
            <w:div w:id="1951621214">
              <w:marLeft w:val="0"/>
              <w:marRight w:val="0"/>
              <w:marTop w:val="0"/>
              <w:marBottom w:val="0"/>
              <w:divBdr>
                <w:top w:val="none" w:sz="0" w:space="0" w:color="auto"/>
                <w:left w:val="none" w:sz="0" w:space="0" w:color="auto"/>
                <w:bottom w:val="none" w:sz="0" w:space="0" w:color="auto"/>
                <w:right w:val="none" w:sz="0" w:space="0" w:color="auto"/>
              </w:divBdr>
              <w:divsChild>
                <w:div w:id="1267882644">
                  <w:marLeft w:val="0"/>
                  <w:marRight w:val="0"/>
                  <w:marTop w:val="0"/>
                  <w:marBottom w:val="0"/>
                  <w:divBdr>
                    <w:top w:val="none" w:sz="0" w:space="0" w:color="auto"/>
                    <w:left w:val="none" w:sz="0" w:space="0" w:color="auto"/>
                    <w:bottom w:val="none" w:sz="0" w:space="0" w:color="auto"/>
                    <w:right w:val="none" w:sz="0" w:space="0" w:color="auto"/>
                  </w:divBdr>
                  <w:divsChild>
                    <w:div w:id="19722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32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mile.com/documents/10181/22883/XMP1-LCC.jpg/a1d1b410-976c-45be-96e7-03e76f4f659b?t=13928944256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keymile.com/documents/10181/22883/App_XMP1-LLC_E.pdf/f0dc229b-2df5-4b30-9972-0d6cfd54c6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ymile.com/documents/10181/22883/XMP1-LCC.jpg/a1d1b410-976c-45be-96e7-03e76f4f659b?t=1392894425619"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eymile.com/documents/10181/22883/App_XMP1-LLC_E.pdf/f0dc229b-2df5-4b30-9972-0d6cfd54c6f8" TargetMode="External"/><Relationship Id="rId4" Type="http://schemas.openxmlformats.org/officeDocument/2006/relationships/settings" Target="settings.xml"/><Relationship Id="rId9" Type="http://schemas.openxmlformats.org/officeDocument/2006/relationships/hyperlink" Target="http://www.keymile.com/products/mission_critical_system_mcs/xm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Saudi Ericsson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Ostman</dc:creator>
  <cp:lastModifiedBy>Anders Ostman</cp:lastModifiedBy>
  <cp:revision>6</cp:revision>
  <cp:lastPrinted>2015-03-08T14:36:00Z</cp:lastPrinted>
  <dcterms:created xsi:type="dcterms:W3CDTF">2015-03-08T14:20:00Z</dcterms:created>
  <dcterms:modified xsi:type="dcterms:W3CDTF">2015-03-08T14:40:00Z</dcterms:modified>
</cp:coreProperties>
</file>